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551C" w:rsidRPr="0000551C" w:rsidRDefault="0000551C" w:rsidP="0000551C">
      <w:pPr>
        <w:spacing w:line="36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00551C">
        <w:rPr>
          <w:rFonts w:ascii="Arial" w:hAnsi="Arial" w:cs="Arial"/>
          <w:b/>
          <w:sz w:val="20"/>
          <w:szCs w:val="20"/>
          <w:lang w:val="en-US"/>
        </w:rPr>
        <w:t>Summary of doctoral dissertation in Polish</w:t>
      </w:r>
      <w:r w:rsidRPr="0000551C">
        <w:rPr>
          <w:rFonts w:ascii="Arial" w:hAnsi="Arial" w:cs="Arial"/>
          <w:sz w:val="20"/>
          <w:szCs w:val="20"/>
          <w:lang w:val="en-US"/>
        </w:rPr>
        <w:t xml:space="preserve">: </w:t>
      </w:r>
    </w:p>
    <w:p w:rsidR="00D83C1D" w:rsidRPr="0000551C" w:rsidRDefault="00AA6361" w:rsidP="00AA6361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AA6361">
        <w:rPr>
          <w:rFonts w:ascii="Arial" w:hAnsi="Arial" w:cs="Arial"/>
          <w:sz w:val="20"/>
          <w:szCs w:val="20"/>
        </w:rPr>
        <w:t xml:space="preserve">Rak trzustki jest wysoce złośliwym nowotworem o znacznej oporności na chemioterapię i szybkim tempie progresji. Celem niniejszej pracy było scharakteryzowanie aktywności biologicznej trzech nowych niesymetrycznych pochodnych </w:t>
      </w:r>
      <w:proofErr w:type="spellStart"/>
      <w:r w:rsidRPr="00AA6361">
        <w:rPr>
          <w:rFonts w:ascii="Arial" w:hAnsi="Arial" w:cs="Arial"/>
          <w:sz w:val="20"/>
          <w:szCs w:val="20"/>
        </w:rPr>
        <w:t>bisakrydyny</w:t>
      </w:r>
      <w:proofErr w:type="spellEnd"/>
      <w:r w:rsidRPr="00AA6361">
        <w:rPr>
          <w:rFonts w:ascii="Arial" w:hAnsi="Arial" w:cs="Arial"/>
          <w:sz w:val="20"/>
          <w:szCs w:val="20"/>
        </w:rPr>
        <w:t xml:space="preserve"> (</w:t>
      </w:r>
      <w:proofErr w:type="spellStart"/>
      <w:r w:rsidRPr="00AA6361">
        <w:rPr>
          <w:rFonts w:ascii="Arial" w:hAnsi="Arial" w:cs="Arial"/>
          <w:sz w:val="20"/>
          <w:szCs w:val="20"/>
        </w:rPr>
        <w:t>UAs</w:t>
      </w:r>
      <w:proofErr w:type="spellEnd"/>
      <w:r w:rsidRPr="00AA6361">
        <w:rPr>
          <w:rFonts w:ascii="Arial" w:hAnsi="Arial" w:cs="Arial"/>
          <w:sz w:val="20"/>
          <w:szCs w:val="20"/>
        </w:rPr>
        <w:t xml:space="preserve">; C-2028, C-2045 i C-2053) wobec ludzkich komórek raka trzustki hodowanych w postaci </w:t>
      </w:r>
      <w:proofErr w:type="spellStart"/>
      <w:r w:rsidRPr="00AA6361">
        <w:rPr>
          <w:rFonts w:ascii="Arial" w:hAnsi="Arial" w:cs="Arial"/>
          <w:sz w:val="20"/>
          <w:szCs w:val="20"/>
        </w:rPr>
        <w:t>monowarstw</w:t>
      </w:r>
      <w:proofErr w:type="spellEnd"/>
      <w:r w:rsidRPr="00AA6361">
        <w:rPr>
          <w:rFonts w:ascii="Arial" w:hAnsi="Arial" w:cs="Arial"/>
          <w:sz w:val="20"/>
          <w:szCs w:val="20"/>
        </w:rPr>
        <w:t xml:space="preserve"> i </w:t>
      </w:r>
      <w:proofErr w:type="spellStart"/>
      <w:r w:rsidRPr="00AA6361">
        <w:rPr>
          <w:rFonts w:ascii="Arial" w:hAnsi="Arial" w:cs="Arial"/>
          <w:sz w:val="20"/>
          <w:szCs w:val="20"/>
        </w:rPr>
        <w:t>sferoidów</w:t>
      </w:r>
      <w:proofErr w:type="spellEnd"/>
      <w:r w:rsidRPr="00AA6361">
        <w:rPr>
          <w:rFonts w:ascii="Arial" w:hAnsi="Arial" w:cs="Arial"/>
          <w:sz w:val="20"/>
          <w:szCs w:val="20"/>
        </w:rPr>
        <w:t xml:space="preserve">. </w:t>
      </w:r>
      <w:proofErr w:type="spellStart"/>
      <w:r w:rsidRPr="00AA6361">
        <w:rPr>
          <w:rFonts w:ascii="Arial" w:hAnsi="Arial" w:cs="Arial"/>
          <w:sz w:val="20"/>
          <w:szCs w:val="20"/>
        </w:rPr>
        <w:t>UAs</w:t>
      </w:r>
      <w:proofErr w:type="spellEnd"/>
      <w:r w:rsidRPr="00AA6361">
        <w:rPr>
          <w:rFonts w:ascii="Arial" w:hAnsi="Arial" w:cs="Arial"/>
          <w:sz w:val="20"/>
          <w:szCs w:val="20"/>
        </w:rPr>
        <w:t xml:space="preserve"> wykazywały większą cytotoksyczność wobec komórek nowotworowych w porównaniu z normalnymi komórkami nabłonka trzustki. Jako główny mechanizm śmierci komórkowej zidentyfikowano apoptozę, a indukcja SMAD4 ułatwiała ten proces. Kluczowym odkryciem było obniżenie ekspresji </w:t>
      </w:r>
      <w:proofErr w:type="spellStart"/>
      <w:r w:rsidRPr="00AA6361">
        <w:rPr>
          <w:rFonts w:ascii="Arial" w:hAnsi="Arial" w:cs="Arial"/>
          <w:sz w:val="20"/>
          <w:szCs w:val="20"/>
        </w:rPr>
        <w:t>onkoproteiny</w:t>
      </w:r>
      <w:proofErr w:type="spellEnd"/>
      <w:r w:rsidRPr="00AA6361">
        <w:rPr>
          <w:rFonts w:ascii="Arial" w:hAnsi="Arial" w:cs="Arial"/>
          <w:sz w:val="20"/>
          <w:szCs w:val="20"/>
        </w:rPr>
        <w:t xml:space="preserve"> c-Myc, która pośredniczyła w śmierci komórkowej w sposób niezależny od p53. Ponadto </w:t>
      </w:r>
      <w:proofErr w:type="spellStart"/>
      <w:r w:rsidRPr="00AA6361">
        <w:rPr>
          <w:rFonts w:ascii="Arial" w:hAnsi="Arial" w:cs="Arial"/>
          <w:sz w:val="20"/>
          <w:szCs w:val="20"/>
        </w:rPr>
        <w:t>UAs</w:t>
      </w:r>
      <w:proofErr w:type="spellEnd"/>
      <w:r w:rsidRPr="00AA6361">
        <w:rPr>
          <w:rFonts w:ascii="Arial" w:hAnsi="Arial" w:cs="Arial"/>
          <w:sz w:val="20"/>
          <w:szCs w:val="20"/>
        </w:rPr>
        <w:t xml:space="preserve"> indukowały zależne od dawki przyspieszone starzenie komórkowe poprzez zwiększenie ekspresji p21, a starzejące się komórki ostatecznie przechodziły w stan apoptozy. W sferoidach </w:t>
      </w:r>
      <w:proofErr w:type="spellStart"/>
      <w:r w:rsidRPr="00AA6361">
        <w:rPr>
          <w:rFonts w:ascii="Arial" w:hAnsi="Arial" w:cs="Arial"/>
          <w:sz w:val="20"/>
          <w:szCs w:val="20"/>
        </w:rPr>
        <w:t>UAs</w:t>
      </w:r>
      <w:proofErr w:type="spellEnd"/>
      <w:r w:rsidRPr="00AA6361">
        <w:rPr>
          <w:rFonts w:ascii="Arial" w:hAnsi="Arial" w:cs="Arial"/>
          <w:sz w:val="20"/>
          <w:szCs w:val="20"/>
        </w:rPr>
        <w:t xml:space="preserve"> utrzymywały aktywność </w:t>
      </w:r>
      <w:proofErr w:type="spellStart"/>
      <w:r w:rsidRPr="00AA6361">
        <w:rPr>
          <w:rFonts w:ascii="Arial" w:hAnsi="Arial" w:cs="Arial"/>
          <w:sz w:val="20"/>
          <w:szCs w:val="20"/>
        </w:rPr>
        <w:t>proapoptotyczną</w:t>
      </w:r>
      <w:proofErr w:type="spellEnd"/>
      <w:r w:rsidRPr="00AA6361">
        <w:rPr>
          <w:rFonts w:ascii="Arial" w:hAnsi="Arial" w:cs="Arial"/>
          <w:sz w:val="20"/>
          <w:szCs w:val="20"/>
        </w:rPr>
        <w:t xml:space="preserve">. Badania wykazały również, że </w:t>
      </w:r>
      <w:proofErr w:type="spellStart"/>
      <w:r w:rsidRPr="00AA6361">
        <w:rPr>
          <w:rFonts w:ascii="Arial" w:hAnsi="Arial" w:cs="Arial"/>
          <w:sz w:val="20"/>
          <w:szCs w:val="20"/>
        </w:rPr>
        <w:t>UAs</w:t>
      </w:r>
      <w:proofErr w:type="spellEnd"/>
      <w:r w:rsidRPr="00AA6361">
        <w:rPr>
          <w:rFonts w:ascii="Arial" w:hAnsi="Arial" w:cs="Arial"/>
          <w:sz w:val="20"/>
          <w:szCs w:val="20"/>
        </w:rPr>
        <w:t xml:space="preserve"> wyzwalały niezależny od Bekliny1 przepływ </w:t>
      </w:r>
      <w:proofErr w:type="spellStart"/>
      <w:r w:rsidRPr="00AA6361">
        <w:rPr>
          <w:rFonts w:ascii="Arial" w:hAnsi="Arial" w:cs="Arial"/>
          <w:sz w:val="20"/>
          <w:szCs w:val="20"/>
        </w:rPr>
        <w:t>autofagiczny</w:t>
      </w:r>
      <w:proofErr w:type="spellEnd"/>
      <w:r w:rsidRPr="00AA6361">
        <w:rPr>
          <w:rFonts w:ascii="Arial" w:hAnsi="Arial" w:cs="Arial"/>
          <w:sz w:val="20"/>
          <w:szCs w:val="20"/>
        </w:rPr>
        <w:t xml:space="preserve"> o charakterze głównie </w:t>
      </w:r>
      <w:proofErr w:type="spellStart"/>
      <w:r w:rsidRPr="00AA6361">
        <w:rPr>
          <w:rFonts w:ascii="Arial" w:hAnsi="Arial" w:cs="Arial"/>
          <w:sz w:val="20"/>
          <w:szCs w:val="20"/>
        </w:rPr>
        <w:t>prośmierciowym</w:t>
      </w:r>
      <w:proofErr w:type="spellEnd"/>
      <w:r w:rsidRPr="00AA6361">
        <w:rPr>
          <w:rFonts w:ascii="Arial" w:hAnsi="Arial" w:cs="Arial"/>
          <w:sz w:val="20"/>
          <w:szCs w:val="20"/>
        </w:rPr>
        <w:t xml:space="preserve">. </w:t>
      </w:r>
      <w:proofErr w:type="spellStart"/>
      <w:r w:rsidRPr="00AA6361">
        <w:rPr>
          <w:rFonts w:ascii="Arial" w:hAnsi="Arial" w:cs="Arial"/>
          <w:sz w:val="20"/>
          <w:szCs w:val="20"/>
        </w:rPr>
        <w:t>Autofagia</w:t>
      </w:r>
      <w:proofErr w:type="spellEnd"/>
      <w:r w:rsidRPr="00AA6361">
        <w:rPr>
          <w:rFonts w:ascii="Arial" w:hAnsi="Arial" w:cs="Arial"/>
          <w:sz w:val="20"/>
          <w:szCs w:val="20"/>
        </w:rPr>
        <w:t xml:space="preserve"> indukowana przez </w:t>
      </w:r>
      <w:proofErr w:type="spellStart"/>
      <w:r w:rsidRPr="00AA6361">
        <w:rPr>
          <w:rFonts w:ascii="Arial" w:hAnsi="Arial" w:cs="Arial"/>
          <w:sz w:val="20"/>
          <w:szCs w:val="20"/>
        </w:rPr>
        <w:t>UAs</w:t>
      </w:r>
      <w:proofErr w:type="spellEnd"/>
      <w:r w:rsidRPr="00AA6361">
        <w:rPr>
          <w:rFonts w:ascii="Arial" w:hAnsi="Arial" w:cs="Arial"/>
          <w:sz w:val="20"/>
          <w:szCs w:val="20"/>
        </w:rPr>
        <w:t xml:space="preserve"> hamowała potencjał migracyjny poprzez niekanoniczną modulację markerów przejścia nabłonkowo-</w:t>
      </w:r>
      <w:proofErr w:type="spellStart"/>
      <w:r w:rsidRPr="00AA6361">
        <w:rPr>
          <w:rFonts w:ascii="Arial" w:hAnsi="Arial" w:cs="Arial"/>
          <w:sz w:val="20"/>
          <w:szCs w:val="20"/>
        </w:rPr>
        <w:t>mezenchymalnego</w:t>
      </w:r>
      <w:proofErr w:type="spellEnd"/>
      <w:r w:rsidRPr="00AA6361">
        <w:rPr>
          <w:rFonts w:ascii="Arial" w:hAnsi="Arial" w:cs="Arial"/>
          <w:sz w:val="20"/>
          <w:szCs w:val="20"/>
        </w:rPr>
        <w:t xml:space="preserve">. Wyniki te wskazują </w:t>
      </w:r>
      <w:proofErr w:type="spellStart"/>
      <w:r w:rsidRPr="00AA6361">
        <w:rPr>
          <w:rFonts w:ascii="Arial" w:hAnsi="Arial" w:cs="Arial"/>
          <w:sz w:val="20"/>
          <w:szCs w:val="20"/>
        </w:rPr>
        <w:t>UAs</w:t>
      </w:r>
      <w:proofErr w:type="spellEnd"/>
      <w:r w:rsidRPr="00AA6361">
        <w:rPr>
          <w:rFonts w:ascii="Arial" w:hAnsi="Arial" w:cs="Arial"/>
          <w:sz w:val="20"/>
          <w:szCs w:val="20"/>
        </w:rPr>
        <w:t>, jako silne, wielofunkcyjne związki zdolne do pokonania oporności genetycznej i ograniczenia migracji komórek raka trzustki.</w:t>
      </w:r>
      <w:bookmarkStart w:id="0" w:name="_GoBack"/>
      <w:bookmarkEnd w:id="0"/>
    </w:p>
    <w:sectPr w:rsidR="00D83C1D" w:rsidRPr="0000551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xMjE0sjQwM7cwNjYwMTJW0lEKTi0uzszPAykwrAUAp5cYBSwAAAA="/>
  </w:docVars>
  <w:rsids>
    <w:rsidRoot w:val="0000551C"/>
    <w:rsid w:val="0000551C"/>
    <w:rsid w:val="00AA6361"/>
    <w:rsid w:val="00D83C1D"/>
    <w:rsid w:val="00E57D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E7C8A4F-DFBF-47BE-B0F7-7043AA1DDD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200</Words>
  <Characters>1203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Konto Microsoft</dc:creator>
  <cp:keywords/>
  <dc:description/>
  <cp:lastModifiedBy>Konto Microsoft</cp:lastModifiedBy>
  <cp:revision>2</cp:revision>
  <dcterms:created xsi:type="dcterms:W3CDTF">2026-05-19T18:23:00Z</dcterms:created>
  <dcterms:modified xsi:type="dcterms:W3CDTF">2026-05-24T20:46:00Z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bbc2de95-f4e1-4528-939f-a5daffae0887</vt:lpwstr>
  </property>
</Properties>
</file>